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Schulinternes Fachcurriculum Biologie, Jahrgang 7,  Stand 2016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Thema: 7.1.  Blutkreislauf / Atmung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1455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22"/>
        <w:gridCol w:w="3936"/>
        <w:gridCol w:w="2183"/>
        <w:gridCol w:w="5710"/>
      </w:tblGrid>
      <w:tr>
        <w:trPr/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Blutkreislauf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Bestandteile des Blutes und ihre Aufgaben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Blutkreislaufes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</w:tc>
        <w:tc>
          <w:tcPr>
            <w:tcW w:w="57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krper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E: Arbeiten mit Modellen</w:t>
            </w:r>
          </w:p>
          <w:p>
            <w:pPr>
              <w:pStyle w:val="Textkrper"/>
              <w:rPr>
                <w:b w:val="false"/>
                <w:b w:val="false"/>
                <w:bCs w:val="false"/>
                <w:color w:val="0000FF"/>
                <w:sz w:val="22"/>
              </w:rPr>
            </w:pPr>
            <w:r>
              <w:rPr>
                <w:b w:val="false"/>
                <w:bCs w:val="false"/>
                <w:color w:val="0000FF"/>
                <w:sz w:val="22"/>
              </w:rPr>
              <w:t>K: Interpretation von Beobachtungen, Abbildungen und Daten</w:t>
            </w:r>
          </w:p>
          <w:p>
            <w:pPr>
              <w:pStyle w:val="Textkrper"/>
              <w:rPr>
                <w:b w:val="false"/>
                <w:b w:val="false"/>
                <w:bCs w:val="false"/>
                <w:color w:val="0000FF"/>
                <w:sz w:val="22"/>
              </w:rPr>
            </w:pPr>
            <w:r>
              <w:rPr>
                <w:b w:val="false"/>
                <w:bCs w:val="false"/>
                <w:color w:val="0000FF"/>
                <w:sz w:val="22"/>
              </w:rPr>
              <w:t xml:space="preserve">B: Bewerten von Einflüssen auf die Gesundheit und Leistungsfähigkeit </w:t>
            </w:r>
          </w:p>
          <w:p>
            <w:pPr>
              <w:pStyle w:val="Textkrper"/>
              <w:spacing w:before="0" w:after="120"/>
              <w:rPr>
                <w:b w:val="false"/>
                <w:b w:val="false"/>
                <w:bCs w:val="false"/>
                <w:color w:val="0000FF"/>
                <w:sz w:val="22"/>
              </w:rPr>
            </w:pPr>
            <w:r>
              <w:rPr>
                <w:b w:val="false"/>
                <w:bCs w:val="false"/>
                <w:color w:val="0000FF"/>
                <w:sz w:val="22"/>
              </w:rPr>
              <w:t>N. f. K: Erkrankungen vorbeugen, gesunder Umgang mit dem Körper</w:t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Herz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Bau und Funktion des Herzens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Atmung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Bau und Funktion der Lunge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Brust- und Bauchatmung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Gasaustausch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Rauchen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Erkrankungen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Herzinfarkt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Schlaganfall7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Thrombose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i w:val="false"/>
          <w:i w:val="false"/>
          <w:iCs w:val="false"/>
          <w:sz w:val="22"/>
          <w:szCs w:val="22"/>
          <w:u w:val="none"/>
        </w:rPr>
      </w:pPr>
      <w:r>
        <w:rPr>
          <w:i w:val="false"/>
          <w:iCs w:val="false"/>
          <w:sz w:val="22"/>
          <w:szCs w:val="22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Thema: 7.2.  Ernährung und Verdauung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1455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22"/>
        <w:gridCol w:w="3936"/>
        <w:gridCol w:w="2183"/>
        <w:gridCol w:w="5710"/>
      </w:tblGrid>
      <w:tr>
        <w:trPr/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Ernährung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Kennzeichen und Bestandteile gesunder Lebensmittel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Ernährungskreis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</w:tc>
        <w:tc>
          <w:tcPr>
            <w:tcW w:w="57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krper"/>
              <w:spacing w:before="0" w:after="113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E: Ernährung hat Auswirkungen auf den Körper</w:t>
            </w:r>
          </w:p>
          <w:p>
            <w:pPr>
              <w:pStyle w:val="Textkrper"/>
              <w:spacing w:before="0" w:after="113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K: Interpretation von Beobachtungen, Abbildungen, Diskussionen</w:t>
            </w:r>
          </w:p>
          <w:p>
            <w:pPr>
              <w:pStyle w:val="Textkrper"/>
              <w:spacing w:before="0" w:after="113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B: Bewertung von Risiken und Konsequenzen der eigenen Lebensweise</w:t>
            </w:r>
          </w:p>
          <w:p>
            <w:pPr>
              <w:pStyle w:val="Textkrper"/>
              <w:spacing w:before="0" w:after="113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B: Bewertung von Handlungsfolgen </w:t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Verdauung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Weg der Nahrung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Verdauungsorgane und ihre Funktionen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Gebiss: Aufgaben, Funktionen, Hygiene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beliebig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Thema: 7.3.  Ökosystem Wald   /</w:t>
      </w:r>
      <w:r>
        <w:rPr>
          <w:b/>
          <w:bCs/>
          <w:color w:val="999999"/>
          <w:sz w:val="28"/>
          <w:szCs w:val="28"/>
          <w:u w:val="single"/>
        </w:rPr>
        <w:t xml:space="preserve">    7.4.  Lebewesen sind an ihren Lebensraum angepasst</w:t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tbl>
      <w:tblPr>
        <w:tblW w:w="1455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22"/>
        <w:gridCol w:w="3936"/>
        <w:gridCol w:w="2183"/>
        <w:gridCol w:w="5710"/>
      </w:tblGrid>
      <w:tr>
        <w:trPr/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Biologisches Gleichgewicht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Lebensgemeinschaften von Tieren und Pflanzenzelle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Nahrungskette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Nahrungsnetz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</w:tc>
        <w:tc>
          <w:tcPr>
            <w:tcW w:w="57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krper"/>
              <w:spacing w:before="0" w:after="113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E: Beobachtung, Beschreibung und Vergleich von Tieren und Pflanzen</w:t>
            </w:r>
          </w:p>
          <w:p>
            <w:pPr>
              <w:pStyle w:val="Textkrper"/>
              <w:spacing w:before="0" w:after="113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K: Darstellung von ökologischen Beziehungen in einfacher grafisch Form</w:t>
            </w:r>
          </w:p>
          <w:p>
            <w:pPr>
              <w:pStyle w:val="Textkrper"/>
              <w:spacing w:before="0" w:after="113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K: Veranschaulichung von Daten mit angemessenen Gestaltungsmitteln</w:t>
            </w:r>
          </w:p>
          <w:p>
            <w:pPr>
              <w:pStyle w:val="Textkrper"/>
              <w:spacing w:before="0" w:after="113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B: Beschreibung von Risiken und Konsequenzen menschlichen Handelns bezüglich des Umgangs mit der Natur</w:t>
            </w:r>
          </w:p>
          <w:p>
            <w:pPr>
              <w:pStyle w:val="Textkrper"/>
              <w:spacing w:before="0" w:after="113"/>
              <w:rPr/>
            </w:pPr>
            <w:r>
              <w:rPr>
                <w:color w:val="0000FF"/>
                <w:sz w:val="22"/>
              </w:rPr>
              <w:t xml:space="preserve">N.f.K.: Vernetzung zu auf- und abbauenden </w:t>
            </w:r>
            <w:r>
              <w:rPr>
                <w:rFonts w:ascii="Times New Roman;serif" w:hAnsi="Times New Roman;serif"/>
                <w:color w:val="0000FF"/>
                <w:sz w:val="22"/>
              </w:rPr>
              <w:t>Stoffwechselprozessen</w:t>
            </w:r>
            <w:r>
              <w:rPr/>
              <w:t xml:space="preserve"> </w:t>
            </w:r>
          </w:p>
          <w:p>
            <w:pPr>
              <w:pStyle w:val="Textkrper"/>
              <w:spacing w:before="0" w:after="0"/>
              <w:rPr>
                <w:color w:val="0000FF"/>
              </w:rPr>
            </w:pPr>
            <w:r>
              <w:rPr>
                <w:color w:val="0000FF"/>
              </w:rPr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Stoffkreislauf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Erzeuger, Verzehrer, Zersetzer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Lebensgemeinschaft von Pflanzen und Tieren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Räuber-Beute-Beziehung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Lebewesen sind an ihren Lebensraum angepasst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Überwinterung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Tiere (Haarwechsel, Winterschlaf, Winterruhe, Winterstarre, Vogelzug)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Pflanzen (Strategien bei Laub- und Nadelbäumen, Speicherorgane, Samen)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Störungen des biologischen Gleichgewichts und ihre Folgen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Ursachenanalyse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Einfluss dem Menschen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Naturkatastrophen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Klimaänderungen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Schadbilder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Naturschutzmaßnahmen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5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Besuch des Jugendwaldheims im Frühjahr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Thema:  Wildkatze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</w:tc>
        <w:tc>
          <w:tcPr>
            <w:tcW w:w="57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i w:val="false"/>
          <w:i w:val="false"/>
          <w:iCs w:val="false"/>
          <w:sz w:val="22"/>
          <w:szCs w:val="22"/>
          <w:u w:val="none"/>
        </w:rPr>
      </w:pPr>
      <w:r>
        <w:rPr>
          <w:i w:val="false"/>
          <w:iCs w:val="false"/>
          <w:sz w:val="22"/>
          <w:szCs w:val="22"/>
          <w:u w:val="none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LibreOffice/5.0.5.2$Windows_x86 LibreOffice_project/55b006a02d247b5f7215fc6ea0fde844b30035b3</Application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2016-02-20T15:06:08Z</dcterms:created>
  <dc:creator>sonja </dc:creator>
  <dc:language>de-DE</dc:language>
  <cp:lastModifiedBy>sonja </cp:lastModifiedBy>
  <dcterms:modified xsi:type="dcterms:W3CDTF">2016-02-20T21:59:05Z</dcterms:modified>
  <cp:revision>7</cp:revision>
</cp:coreProperties>
</file>