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Schulinternes Fachcurriculum Biologie, Jahrgang,  2016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t xml:space="preserve">Thema: 8.1.  </w:t>
      </w:r>
      <w:r>
        <w:rPr>
          <w:b/>
          <w:bCs/>
          <w:sz w:val="28"/>
          <w:szCs w:val="28"/>
          <w:u w:val="single"/>
        </w:rPr>
        <w:t>Sexualkunde</w:t>
      </w:r>
    </w:p>
    <w:p>
      <w:pPr>
        <w:pStyle w:val="Normal"/>
        <w:rPr/>
      </w:pPr>
      <w:r>
        <w:rPr/>
      </w:r>
    </w:p>
    <w:tbl>
      <w:tblPr>
        <w:tblW w:w="1512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0"/>
        <w:gridCol w:w="4093"/>
        <w:gridCol w:w="2271"/>
        <w:gridCol w:w="5932"/>
      </w:tblGrid>
      <w:tr>
        <w:trPr/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Äußere und innerliche Geschlechtsorgane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Veränderungen während der Pupertät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Aufbau und Funktion der Geschlechtsorgane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59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0" w:after="113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K: Interpretation von Beobachtungen, Abbildungen, Diskussionen</w:t>
            </w:r>
          </w:p>
          <w:p>
            <w:pPr>
              <w:pStyle w:val="TabellenInhalt"/>
              <w:spacing w:before="0" w:after="113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K: Erläuterung biologischer Grundlagen zur Empfängnis und Empfängnisverhütung</w:t>
            </w:r>
          </w:p>
          <w:p>
            <w:pPr>
              <w:pStyle w:val="TabellenInhalt"/>
              <w:spacing w:before="0" w:after="113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K: Darlegung eigener Intentionen und Haltungen bezüglich partnerschaftlichen Verhaltens.</w:t>
            </w:r>
          </w:p>
          <w:p>
            <w:pPr>
              <w:pStyle w:val="TabellenInhalt"/>
              <w:spacing w:before="0" w:after="113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B: Verhalten bewerten</w:t>
            </w:r>
          </w:p>
          <w:p>
            <w:pPr>
              <w:pStyle w:val="TabellenInhalt"/>
              <w:spacing w:before="0" w:after="113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B: Beurteilung von Maßnahmen zur Erhaltung der physischen und psychischen Gesundheit und der Gesundheit anderer.</w:t>
            </w:r>
          </w:p>
          <w:p>
            <w:pPr>
              <w:pStyle w:val="TabellenInhalt"/>
              <w:spacing w:before="0" w:after="113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B: Abwägung und Bewertung von Handlungsoptionen und -folgen in Bezug auf ein individuelles, selbstbestimmtes, partnerschaftliches und verantwortliches Sexualverhalten.</w:t>
            </w:r>
          </w:p>
          <w:p>
            <w:pPr>
              <w:pStyle w:val="TabellenInhalt"/>
              <w:spacing w:before="0" w:after="113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N. f. K: Querbezüge zum Basiskonzept Struktur und Funktion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weibliche Zyklus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Ablauf des weibl. Zyklus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Entwicklung von Keimzellen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Hormonelle Grundlagen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Ablauf der Schwangerschaft und der Geburt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Empfängnis und Verhütung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Entwicklung von Embryo und Fötus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Geburt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HR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HR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Prävention in Bezug auf gesundliche Risiken beim sexuellen Handeln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bakterielle / virale Infektionen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Pilzinfektionen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Formen menschlichen Sexualverhaltens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seelisch-körperliche Selbstbestimmng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 xml:space="preserve">- Verantwortung für das eigene Sexualverhalten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Heterosexuelle und Homosexuelle Partnerschaften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Gesetzliche Regelungen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Verstöße und Straftaten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beliebig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u w:val="none"/>
        </w:rPr>
      </w:pPr>
      <w:r>
        <w:rPr>
          <w:u w:val="none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Thema: 8.2.  </w:t>
      </w:r>
      <w:r>
        <w:rPr>
          <w:b/>
          <w:bCs/>
          <w:sz w:val="28"/>
          <w:szCs w:val="28"/>
          <w:u w:val="single"/>
        </w:rPr>
        <w:t>Suchtprävention</w:t>
      </w:r>
      <w:r>
        <w:rPr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</w:r>
    </w:p>
    <w:tbl>
      <w:tblPr>
        <w:tblW w:w="1514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29"/>
        <w:gridCol w:w="4277"/>
        <w:gridCol w:w="2087"/>
        <w:gridCol w:w="5947"/>
      </w:tblGrid>
      <w:tr>
        <w:trPr/>
        <w:tc>
          <w:tcPr>
            <w:tcW w:w="2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 der Gewöhnung zur Sucht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Kritische Betrachtung der Lebensumstände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Seelische und körperliche Abhängigkeit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Auswirkungen auf die Gesundheit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</w:tc>
        <w:tc>
          <w:tcPr>
            <w:tcW w:w="594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E: Modell des Suchtkreislaufs anwenden auf versch. Lebensläufe</w:t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K: Quelltexte, Lebensläufe kritisch auswerten, Sachverhalte diskutieren</w:t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 xml:space="preserve">B: Risiken und Konsequenzen der eigenen Lebensweise abwägen und bewerten, gesellschaftsrelevante Aussagen reflektieren </w:t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N. f. K.: fachspezifische Kenntnisse anwenden und neue Sachverhalte erklären, z.B. beim Umgang mit versch. Drogen</w:t>
            </w:r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Physiologische Abläufe im Körper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Tabak: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Auswirkungen auf Atmungsorgane, Blutgefäßsystem und Zellen 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</w:tc>
        <w:tc>
          <w:tcPr>
            <w:tcW w:w="594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Alkohol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Aufnahme, Stoffwechselvorgänge, Abbau im Körper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Auswirkungen auf Gehirn und innere Organe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Erkrankungen, psycho-soziale Schäden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gesetzliche Regelungen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</w:r>
          </w:p>
        </w:tc>
        <w:tc>
          <w:tcPr>
            <w:tcW w:w="594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2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Weitere Drogen</w:t>
            </w:r>
          </w:p>
        </w:tc>
        <w:tc>
          <w:tcPr>
            <w:tcW w:w="427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Wirkung weiterer Drogen (z.B. Cannabis, Heroin, Extasy, LSD)</w:t>
            </w:r>
          </w:p>
        </w:tc>
        <w:tc>
          <w:tcPr>
            <w:tcW w:w="208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Film</w:t>
            </w:r>
          </w:p>
        </w:tc>
        <w:tc>
          <w:tcPr>
            <w:tcW w:w="594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Textkrper"/>
        <w:rPr/>
      </w:pPr>
      <w:r>
        <w:rPr>
          <w:b/>
          <w:sz w:val="28"/>
          <w:lang w:val="de-DE"/>
        </w:rPr>
        <w:t xml:space="preserve">Thema: 8.3.  </w:t>
      </w:r>
      <w:r>
        <w:rPr>
          <w:b/>
          <w:sz w:val="28"/>
          <w:u w:val="single"/>
          <w:lang w:val="de-DE"/>
        </w:rPr>
        <w:t>Zellen und Gewebe – Einführung in die Mikroskopie</w:t>
      </w:r>
      <w:r>
        <w:rPr>
          <w:b/>
          <w:sz w:val="28"/>
          <w:lang w:val="de-DE"/>
        </w:rPr>
        <w:t xml:space="preserve">  </w:t>
      </w:r>
    </w:p>
    <w:p>
      <w:pPr>
        <w:pStyle w:val="Textkrper"/>
        <w:rPr/>
      </w:pPr>
      <w:r>
        <w:rPr/>
      </w:r>
    </w:p>
    <w:tbl>
      <w:tblPr>
        <w:tblW w:w="1512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30"/>
        <w:gridCol w:w="4093"/>
        <w:gridCol w:w="2271"/>
        <w:gridCol w:w="5932"/>
      </w:tblGrid>
      <w:tr>
        <w:trPr/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Mikroskopische Technik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Bau des Mikroskops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Handhabung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Funktionsweise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G</w:t>
            </w:r>
          </w:p>
        </w:tc>
        <w:tc>
          <w:tcPr>
            <w:tcW w:w="593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E: Modelle anfertigen und vergleichen, Präparate anfertigen, Mikroskopie, Zeichnen</w:t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K: die Aussagekraft von Modellen fachlich korrekt diskutieren , Schemazeichnungen auf Sachverhalte, z.B. Stofftwechselprozesse, übertragen</w:t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B: eigene Zeichnungen in ihrer Detailgetreue und realistischen Darstellung bewerten</w:t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</w:r>
          </w:p>
          <w:p>
            <w:pPr>
              <w:pStyle w:val="TabellenInhalt"/>
              <w:jc w:val="left"/>
              <w:rPr>
                <w:b w:val="false"/>
                <w:b w:val="false"/>
                <w:bCs w:val="false"/>
                <w:color w:val="0000FF"/>
                <w:sz w:val="22"/>
                <w:szCs w:val="22"/>
              </w:rPr>
            </w:pPr>
            <w:r>
              <w:rPr>
                <w:b w:val="false"/>
                <w:bCs w:val="false"/>
                <w:color w:val="0000FF"/>
                <w:sz w:val="22"/>
                <w:szCs w:val="22"/>
              </w:rPr>
              <w:t>N. f. K.: Zellbau und Zellfunktion auf versch. Gewebe anwenden</w:t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Bau der tierischen Zelle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Mundschleimhautzellen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Bau der Pflanzenzelle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Zellen der Zwiebelhaut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Zellen einer grünen Pflanze 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  <w:u w:val="none"/>
              </w:rPr>
            </w:pPr>
            <w:r>
              <w:rPr>
                <w:i w:val="false"/>
                <w:iCs w:val="false"/>
                <w:sz w:val="22"/>
                <w:szCs w:val="22"/>
                <w:u w:val="none"/>
              </w:rPr>
              <w:t>RG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Einzellige Lebewesen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Heuaufguss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- Amöbe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000000"/>
                <w:sz w:val="22"/>
                <w:szCs w:val="22"/>
              </w:rPr>
            </w:pPr>
            <w:r>
              <w:rPr>
                <w:i w:val="false"/>
                <w:iCs w:val="false"/>
                <w:color w:val="000000"/>
                <w:sz w:val="22"/>
                <w:szCs w:val="22"/>
              </w:rPr>
              <w:t>RG</w:t>
            </w:r>
          </w:p>
        </w:tc>
        <w:tc>
          <w:tcPr>
            <w:tcW w:w="593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Thema: 8.4.  </w:t>
      </w:r>
      <w:r>
        <w:rPr>
          <w:b/>
          <w:bCs/>
          <w:sz w:val="28"/>
          <w:szCs w:val="28"/>
          <w:u w:val="single"/>
        </w:rPr>
        <w:t>Evolution</w:t>
      </w:r>
      <w:r>
        <w:rPr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rPr>
          <w:u w:val="none"/>
        </w:rPr>
      </w:pPr>
      <w:r>
        <w:rPr>
          <w:u w:val="none"/>
        </w:rPr>
      </w:r>
    </w:p>
    <w:tbl>
      <w:tblPr>
        <w:tblW w:w="1481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845"/>
        <w:gridCol w:w="4093"/>
        <w:gridCol w:w="2257"/>
        <w:gridCol w:w="5623"/>
      </w:tblGrid>
      <w:tr>
        <w:trPr/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Inhaltliche Schwerpunkte</w:t>
            </w:r>
          </w:p>
        </w:tc>
        <w:tc>
          <w:tcPr>
            <w:tcW w:w="4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Stundeninhalte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Zweige</w:t>
            </w:r>
          </w:p>
        </w:tc>
        <w:tc>
          <w:tcPr>
            <w:tcW w:w="5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b/>
                <w:b/>
                <w:bCs/>
                <w:color w:val="0000FF"/>
                <w:sz w:val="22"/>
                <w:szCs w:val="22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Kompetenz-bereiche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/>
                <w:bCs/>
                <w:color w:val="0000FF"/>
                <w:sz w:val="16"/>
                <w:szCs w:val="16"/>
              </w:rPr>
              <w:t>E = Erkenntnisgewinn, K = Kommunikation, B =</w:t>
            </w: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Bewertung, </w:t>
            </w:r>
          </w:p>
          <w:p>
            <w:pPr>
              <w:pStyle w:val="TabellenInhalt"/>
              <w:jc w:val="left"/>
              <w:rPr>
                <w:b/>
                <w:b/>
                <w:bCs/>
                <w:color w:val="0000FF"/>
                <w:sz w:val="16"/>
                <w:szCs w:val="16"/>
              </w:rPr>
            </w:pPr>
            <w:r>
              <w:rPr>
                <w:b w:val="false"/>
                <w:bCs w:val="false"/>
                <w:color w:val="0000FF"/>
                <w:sz w:val="16"/>
                <w:szCs w:val="16"/>
              </w:rPr>
              <w:t xml:space="preserve">N. f. </w:t>
            </w:r>
            <w:r>
              <w:rPr>
                <w:b/>
                <w:bCs/>
                <w:color w:val="0000FF"/>
                <w:sz w:val="16"/>
                <w:szCs w:val="16"/>
              </w:rPr>
              <w:t>K.: Nutzung fachlicher Konzepte</w:t>
            </w:r>
          </w:p>
        </w:tc>
      </w:tr>
      <w:tr>
        <w:trPr/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Entstehung des Lebens auf der Erde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Die Erdzeitalter in zeitlicher Einordnung, Pflanzen und Lebewesen</w:t>
            </w:r>
          </w:p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Fossilien / Fossilisierung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Kontinentalverschiebung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62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spacing w:before="0" w:after="113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  <w:p>
            <w:pPr>
              <w:pStyle w:val="TabellenInhalt"/>
              <w:spacing w:before="0" w:after="113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E: Modellhafte Darstellung der Abstammung mittels individueller und phylogenetischer Stammbäume.</w:t>
            </w:r>
          </w:p>
          <w:p>
            <w:pPr>
              <w:pStyle w:val="TabellenInhalt"/>
              <w:spacing w:before="0" w:after="113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E: Unterscheidung zwischen Ursache und Wirkung bei individuellen Veränderungen und Veränderungen der Arten im Verlauf der Stammesgeschichte.</w:t>
            </w:r>
          </w:p>
          <w:p>
            <w:pPr>
              <w:pStyle w:val="TabellenInhalt"/>
              <w:spacing w:before="0" w:after="113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K: Erläuterung des Artbegriffs. Präsentation von Forschungsmethoden zur Evolution.</w:t>
            </w:r>
          </w:p>
          <w:p>
            <w:pPr>
              <w:pStyle w:val="TabellenInhalt"/>
              <w:spacing w:before="0" w:after="113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K: Erklärung von Evolutionsprozessen mit Hilfe naturgetreuer und schematisch idealisierter Abbildungen.</w:t>
            </w:r>
          </w:p>
          <w:p>
            <w:pPr>
              <w:pStyle w:val="TabellenInhalt"/>
              <w:spacing w:before="0" w:after="113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N. f. K: Vernetzung zum Basiskonzept Struktur und Funktion in Bezug auf den Zusammenhang zwischen Körperbau, Lebensweise und Lebensraum von Organismen.</w:t>
            </w:r>
          </w:p>
          <w:p>
            <w:pPr>
              <w:pStyle w:val="TabellenInhalt"/>
              <w:spacing w:before="0" w:after="113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</w:r>
          </w:p>
        </w:tc>
      </w:tr>
      <w:tr>
        <w:trPr/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Vergleichende Morphologie bei Tieren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von Kiemen zur Lungenatmung  oder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von Flossen zu Beinen 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Analoge und homologe Organe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6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Reaktionen auf Änderungen der Umweltbedingungen, verwandtschaftliche Beziehungen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Dinosaurier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 xml:space="preserve">- Brückentiere </w:t>
            </w:r>
            <w:r>
              <w:rPr>
                <w:i w:val="false"/>
                <w:iCs w:val="false"/>
                <w:color w:val="999999"/>
                <w:sz w:val="22"/>
                <w:szCs w:val="22"/>
              </w:rPr>
              <w:t>(Archaeopteryx, Quastenflosser, Schnabeltier)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Entwicklung des Pferdes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</w:t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</w:t>
            </w:r>
          </w:p>
          <w:p>
            <w:pPr>
              <w:pStyle w:val="TabellenInha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color w:val="999999"/>
                <w:sz w:val="22"/>
                <w:szCs w:val="22"/>
              </w:rPr>
            </w:pPr>
            <w:r>
              <w:rPr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6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Entwicklung des Menschen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Morphologische Veränderungen: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aufrechter Gang/Wirbelsäule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Standfuß/Greifhand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- Gehirn- und Intellegenzentwicklung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Kulturelle Entwicklung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- Stammbäume des Menschen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  <w:t>HRG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</w:rPr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6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Selektionstheorien</w:t>
            </w:r>
          </w:p>
        </w:tc>
        <w:tc>
          <w:tcPr>
            <w:tcW w:w="409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Darwin-Lamarck im Vergleich</w:t>
            </w:r>
          </w:p>
          <w:p>
            <w:pPr>
              <w:pStyle w:val="TabellenInhalt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Evolutionstheorie nach Darwin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lenInhalt"/>
              <w:jc w:val="center"/>
              <w:rPr>
                <w:i w:val="false"/>
                <w:i w:val="false"/>
                <w:iCs w:val="false"/>
                <w:color w:val="999999"/>
                <w:sz w:val="22"/>
                <w:szCs w:val="22"/>
              </w:rPr>
            </w:pPr>
            <w:r>
              <w:rPr>
                <w:i w:val="false"/>
                <w:iCs w:val="false"/>
                <w:color w:val="999999"/>
                <w:sz w:val="22"/>
                <w:szCs w:val="22"/>
              </w:rPr>
              <w:t>beliebig</w:t>
            </w:r>
          </w:p>
        </w:tc>
        <w:tc>
          <w:tcPr>
            <w:tcW w:w="562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sectPr>
      <w:type w:val="nextPage"/>
      <w:pgSz w:orient="landscape" w:w="16838" w:h="11906"/>
      <w:pgMar w:left="850" w:right="850" w:header="0" w:top="1134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7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de-DE" w:eastAsia="zh-CN" w:bidi="hi-IN"/>
    </w:rPr>
  </w:style>
  <w:style w:type="paragraph" w:styleId="Berschrift1">
    <w:name w:val="Überschrift 1"/>
    <w:basedOn w:val="Berschrift"/>
    <w:next w:val="Textkrper"/>
    <w:pPr>
      <w:numPr>
        <w:ilvl w:val="0"/>
        <w:numId w:val="0"/>
      </w:numPr>
      <w:outlineLvl w:val="0"/>
    </w:pPr>
    <w:rPr>
      <w:rFonts w:ascii="Times New Roman" w:hAnsi="Times New Roman" w:eastAsia="SimSun" w:cs="Mangal"/>
      <w:b/>
      <w:bCs/>
      <w:sz w:val="48"/>
      <w:szCs w:val="48"/>
    </w:rPr>
  </w:style>
  <w:style w:type="paragraph" w:styleId="Berschrift2">
    <w:name w:val="Überschrift 2"/>
    <w:basedOn w:val="Berschrift"/>
    <w:next w:val="Textkrper"/>
    <w:pPr>
      <w:numPr>
        <w:ilvl w:val="0"/>
        <w:numId w:val="0"/>
      </w:numPr>
      <w:outlineLvl w:val="1"/>
    </w:pPr>
    <w:rPr>
      <w:rFonts w:ascii="Times New Roman" w:hAnsi="Times New Roman" w:eastAsia="SimSun" w:cs="Mangal"/>
      <w:b/>
      <w:bCs/>
      <w:sz w:val="36"/>
      <w:szCs w:val="36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239</TotalTime>
  <Application>LibreOffice/5.0.5.2$Windows_x86 LibreOffice_project/55b006a02d247b5f7215fc6ea0fde844b30035b3</Application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2012-02-20T10:26:15Z</dcterms:created>
  <dc:creator>sonja </dc:creator>
  <dc:language>de-DE</dc:language>
  <cp:lastModifiedBy>sonja </cp:lastModifiedBy>
  <dcterms:modified xsi:type="dcterms:W3CDTF">2016-02-28T19:58:46Z</dcterms:modified>
  <cp:revision>30</cp:revision>
</cp:coreProperties>
</file>