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Schulinternes Fachcurriculum Biologie, Jahrgang 9,  Stand 2016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Thema: 9.1.  </w:t>
      </w:r>
      <w:r>
        <w:rPr>
          <w:b/>
          <w:bCs/>
          <w:sz w:val="28"/>
          <w:szCs w:val="28"/>
          <w:u w:val="single"/>
        </w:rPr>
        <w:t>Gesundheit / Immunsystem</w:t>
      </w:r>
      <w:r>
        <w:rPr>
          <w:b/>
          <w:bCs/>
          <w:sz w:val="28"/>
          <w:szCs w:val="28"/>
          <w:u w:val="none"/>
        </w:rPr>
        <w:t xml:space="preserve">  – verpflichtend an 1. Stelle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/>
      </w:pPr>
      <w:r>
        <w:rPr/>
      </w:r>
    </w:p>
    <w:tbl>
      <w:tblPr>
        <w:tblW w:w="1512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0"/>
        <w:gridCol w:w="4093"/>
        <w:gridCol w:w="2271"/>
        <w:gridCol w:w="5932"/>
      </w:tblGrid>
      <w:tr>
        <w:trPr/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Inhaltliche Schwerpunkte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Stundeninhalte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Zweige</w:t>
            </w:r>
          </w:p>
        </w:tc>
        <w:tc>
          <w:tcPr>
            <w:tcW w:w="5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Kompetenz-bereiche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E = Erkenntnisgewinn, K = Kommunikation, B =</w:t>
            </w: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Bewertung, 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N. f. </w:t>
            </w:r>
            <w:r>
              <w:rPr>
                <w:b/>
                <w:bCs/>
                <w:color w:val="0000FF"/>
                <w:sz w:val="16"/>
                <w:szCs w:val="16"/>
              </w:rPr>
              <w:t>K.: Nutzung fachlicher Konzepte</w:t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Krankheitserreger bei Infektionen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 xml:space="preserve">- Baktierien: Zellaufbau, Vermehrung 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Viren: Aufbau, Vermehrung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Pilze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Prionen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9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E: Arbeiten mit geeigneten DNA-Modellen</w:t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K: Interpretation idealtypischer Bildung</w:t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K: Verwendung von Fach- und Symbolsprache</w:t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B: ethische Verantwortung, Bewertung der Eingriffe des Menschen in das Erbgut von Organismen</w:t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N. f. K: Schlüssel – Schloss – Prinzip, Struktur und Funktion</w:t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Infektionswege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Atmungsorgane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Verdauungsorgane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Blut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Krankheitsverläufe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Bakterienverursachte Krankheiten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Virusverursachte Krankheiten (HIV(AIDS)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Einzellerverursachte Krankheiten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Pilzverursachte Krankheiten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andere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i w:val="false"/>
                <w:iCs w:val="false"/>
                <w:sz w:val="22"/>
                <w:szCs w:val="22"/>
                <w:u w:val="none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i w:val="false"/>
                <w:iCs w:val="false"/>
                <w:sz w:val="22"/>
                <w:szCs w:val="22"/>
                <w:u w:val="none"/>
              </w:rPr>
              <w:t>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  <w:u w:val="none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  <w:u w:val="none"/>
              </w:rPr>
              <w:t>beliebig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  <w:u w:val="none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  <w:u w:val="none"/>
              </w:rPr>
              <w:t>beliebig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Immunsystem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- Aufbau des Immunsystems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- Ablauf bei einer Infektionen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- Aktive und passive Immunisierung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Impfkalender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Seuchen, Epidemien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Gesetzliche Regelungen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Individuelle Schutzmaßnahmen: Hygiene, Ernährung, Stressvermeidung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Gesetzliche Regelungen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Verstöße und Straftaten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Thema: 9.2.  </w:t>
      </w:r>
      <w:r>
        <w:rPr>
          <w:b/>
          <w:bCs/>
          <w:sz w:val="28"/>
          <w:szCs w:val="28"/>
          <w:u w:val="single"/>
        </w:rPr>
        <w:t>Genetik</w:t>
      </w:r>
    </w:p>
    <w:p>
      <w:pPr>
        <w:pStyle w:val="Normal"/>
        <w:rPr/>
      </w:pPr>
      <w:r>
        <w:rPr/>
      </w:r>
    </w:p>
    <w:tbl>
      <w:tblPr>
        <w:tblW w:w="1512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0"/>
        <w:gridCol w:w="4093"/>
        <w:gridCol w:w="2271"/>
        <w:gridCol w:w="5932"/>
      </w:tblGrid>
      <w:tr>
        <w:trPr/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Inhaltliche Schwerpunkte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Stundeninhalte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Zweige</w:t>
            </w:r>
          </w:p>
        </w:tc>
        <w:tc>
          <w:tcPr>
            <w:tcW w:w="5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Kompetenz-bereiche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E = Erkenntnisgewinn, K = Kommunikation, B =</w:t>
            </w: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Bewertung, 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N. f. </w:t>
            </w:r>
            <w:r>
              <w:rPr>
                <w:b/>
                <w:bCs/>
                <w:color w:val="0000FF"/>
                <w:sz w:val="16"/>
                <w:szCs w:val="16"/>
              </w:rPr>
              <w:t>K.: Nutzung fachlicher Konzepte</w:t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Aufbau einer Zelle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Zellorganelle und ihre Funktionen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- Lichtmikroskopisches Bild der Zelle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- Elektionenmikroskop. Bild der Zelle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G</w:t>
            </w:r>
          </w:p>
        </w:tc>
        <w:tc>
          <w:tcPr>
            <w:tcW w:w="59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Absprachen mit dem Philippinum beachten</w:t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E: Zusammenhang von Struktur und Funktion</w:t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E: Modelle, Präparate anfertigen, Mikroskopie, Zeichnen</w:t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K: Interpretation idealtypischer Bilder zur Chromosomenverteilung bei Keim- und Körperzellen</w:t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</w:r>
          </w:p>
          <w:p>
            <w:pPr>
              <w:pStyle w:val="TabellenInhal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B: Bewerten von Handlungsoptionen in ethischer Verantwortung in Bezug auf Erbkrankheiten sowie gentechnischer Veränderungen von Pflanzen und Tieren.</w:t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Chromosomen im Zellkern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Genom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 xml:space="preserve">- Chromosomen 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 xml:space="preserve">- Allele, Gene 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 xml:space="preserve">- Aufbau der DNA 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Kern- und Zellteilungen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Mitose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Meiose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i w:val="false"/>
                <w:iCs w:val="false"/>
                <w:sz w:val="22"/>
                <w:szCs w:val="22"/>
                <w:u w:val="none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i w:val="false"/>
                <w:iCs w:val="false"/>
                <w:sz w:val="22"/>
                <w:szCs w:val="22"/>
                <w:u w:val="none"/>
              </w:rPr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Mendel – Regeln der Vererbung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Mendelsche Regeln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Stammbäume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- Vererbung von Merkmalen 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- dominante und rezessive Erbränge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RG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Genetisch Bedingte Krankheiten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Down-Syndrom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Bluterkrankheit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-andere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Mutationen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Beispiele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Auslöser, Einfluss vom Umweltfaktoren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Konsequenz genetischer Veränderungen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 xml:space="preserve">- Züchtung 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 xml:space="preserve">- Genetische Verfahren 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Ethische Verantwortlichkeit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Präimplantationstechnik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Künstliche Befruchtung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Klonen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Stammzellen und embryonales Gewebe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b/>
          <w:bCs/>
          <w:sz w:val="28"/>
          <w:szCs w:val="28"/>
        </w:rPr>
        <w:t xml:space="preserve">Thema: 9.3.  </w:t>
      </w:r>
      <w:r>
        <w:rPr>
          <w:b/>
          <w:bCs/>
          <w:sz w:val="28"/>
          <w:szCs w:val="28"/>
          <w:u w:val="single"/>
        </w:rPr>
        <w:t>Globale Umweltfragen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/>
      </w:pPr>
      <w:r>
        <w:rPr/>
      </w:r>
    </w:p>
    <w:tbl>
      <w:tblPr>
        <w:tblW w:w="1512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0"/>
        <w:gridCol w:w="4093"/>
        <w:gridCol w:w="2271"/>
        <w:gridCol w:w="5932"/>
      </w:tblGrid>
      <w:tr>
        <w:trPr/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Inhaltliche Schwerpunkte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Stundeninhalte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Zweige</w:t>
            </w:r>
          </w:p>
        </w:tc>
        <w:tc>
          <w:tcPr>
            <w:tcW w:w="5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Kompetenz-bereiche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E = Erkenntnisgewinn, K = Kommunikation, B =</w:t>
            </w: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Bewertung, 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N. f. </w:t>
            </w:r>
            <w:r>
              <w:rPr>
                <w:b/>
                <w:bCs/>
                <w:color w:val="0000FF"/>
                <w:sz w:val="16"/>
                <w:szCs w:val="16"/>
              </w:rPr>
              <w:t>K.: Nutzung fachlicher Konzepte</w:t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Globales Klima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- Kohlenstoff- und Sauerstoffkreislauf 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- Vernetzung versch. Ökosysteme 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Bedeutung der Sonne als Energiespender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Bedeutung des Wassers als Klimaregulator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Aufbau von Biomasse, fossile Energieträger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Energiefreisetzung aus organischen Stoffen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9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E: Planung, Durchführung, Auswertung physiologischer Experimente zu einem Stoffwechselprozess.</w:t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K: Erläuterung des Regelkreisschemas mit Bezug zu physiologischen oder ökologischen Prozessen.</w:t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K: Darstellung von kausalen und vernetzten Zusammenhängen in geeigneter Form.</w:t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B: Beurteilung von Verhaltensweisen hinsichtlich der Nachhaltigkeit.</w:t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</w:r>
          </w:p>
          <w:p>
            <w:pPr>
              <w:pStyle w:val="TabellenInha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N. f. K: Vernetzung von Prozessen (z.B. Fotosynthese und Atmung)</w:t>
            </w:r>
          </w:p>
          <w:p>
            <w:pPr>
              <w:pStyle w:val="TabellenInhal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</w:r>
          </w:p>
          <w:p>
            <w:pPr>
              <w:pStyle w:val="TabellenInhal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Beeinflussung der Ökosysteme durch den Menschen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Nahrungsmittelproduktion unter Beachtung der Risiken für die Gesundheit der Lebewesen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Einsichtiges und verantwortliches Handeln / Nachhaltigkeit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von Menschen verursachter Artenschwund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sectPr>
      <w:type w:val="nextPage"/>
      <w:pgSz w:orient="landscape" w:w="16838" w:h="11906"/>
      <w:pgMar w:left="850" w:right="850" w:header="0" w:top="1134" w:footer="0" w:bottom="85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7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Textkörper"/>
    <w:basedOn w:val="Normal"/>
    <w:pPr>
      <w:spacing w:before="0" w:after="12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278</TotalTime>
  <Application>LibreOffice/5.0.5.2$Windows_x86 LibreOffice_project/55b006a02d247b5f7215fc6ea0fde844b30035b3</Application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2012-02-20T10:26:15Z</dcterms:created>
  <dc:creator>sonja </dc:creator>
  <dc:language>de-DE</dc:language>
  <cp:lastModifiedBy>sonja </cp:lastModifiedBy>
  <cp:lastPrinted>2016-02-20T17:30:57Z</cp:lastPrinted>
  <dcterms:modified xsi:type="dcterms:W3CDTF">2016-02-28T19:45:49Z</dcterms:modified>
  <cp:revision>35</cp:revision>
</cp:coreProperties>
</file>